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3GPP TSG-WG SA2 Meeting #160</w:t>
      </w:r>
      <w:r>
        <w:rPr>
          <w:rFonts w:ascii="Arial" w:hAnsi="Arial" w:eastAsia="Arial Unicode MS" w:cs="Arial"/>
          <w:b/>
          <w:bCs/>
          <w:sz w:val="24"/>
        </w:rPr>
        <w:tab/>
      </w:r>
      <w:bookmarkStart w:id="3" w:name="_GoBack"/>
      <w:bookmarkEnd w:id="3"/>
      <w:r>
        <w:rPr>
          <w:rFonts w:hint="eastAsia" w:ascii="Arial" w:hAnsi="Arial" w:eastAsia="Arial Unicode MS" w:cs="Arial"/>
          <w:b/>
          <w:bCs/>
          <w:i/>
          <w:sz w:val="28"/>
        </w:rPr>
        <w:t>S2-2313173</w:t>
      </w:r>
    </w:p>
    <w:p>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Chicago, US, Nov 13 – 17, 2023</w:t>
      </w:r>
      <w:r>
        <w:rPr>
          <w:rFonts w:ascii="Arial" w:hAnsi="Arial" w:eastAsia="Arial Unicode MS" w:cs="Arial"/>
          <w:b/>
          <w:bCs/>
        </w:rPr>
        <w:tab/>
      </w:r>
      <w:r>
        <w:rPr>
          <w:rFonts w:ascii="Arial" w:hAnsi="Arial" w:cs="Arial"/>
          <w:b/>
          <w:bCs/>
          <w:color w:val="0000FF"/>
        </w:rPr>
        <w:t>(revision of S2-231xxxx)</w:t>
      </w:r>
    </w:p>
    <w:p>
      <w:pPr>
        <w:rPr>
          <w:rFonts w:ascii="Arial" w:hAnsi="Arial" w:cs="Arial"/>
        </w:rPr>
      </w:pPr>
    </w:p>
    <w:p>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bookmarkStart w:id="0" w:name="OLE_LINK2"/>
      <w:r>
        <w:rPr>
          <w:rFonts w:hint="eastAsia" w:ascii="Arial" w:hAnsi="Arial" w:eastAsia="宋体" w:cs="Arial"/>
          <w:b/>
          <w:lang w:val="en-US" w:eastAsia="zh-CN"/>
        </w:rPr>
        <w:t>China Mobile, NTT DOCOMO, T-Mobile USA, China Broadnet, China Unicom</w:t>
      </w:r>
      <w:bookmarkEnd w:id="0"/>
    </w:p>
    <w:p>
      <w:pPr>
        <w:ind w:left="2127" w:hanging="2127"/>
        <w:rPr>
          <w:rFonts w:ascii="Arial" w:hAnsi="Arial" w:cs="Arial"/>
          <w:b/>
        </w:rPr>
      </w:pPr>
      <w:r>
        <w:rPr>
          <w:rFonts w:ascii="Arial" w:hAnsi="Arial" w:cs="Arial"/>
          <w:b/>
        </w:rPr>
        <w:t>Title:</w:t>
      </w:r>
      <w:r>
        <w:rPr>
          <w:rFonts w:ascii="Arial" w:hAnsi="Arial" w:cs="Arial"/>
          <w:b/>
        </w:rPr>
        <w:tab/>
      </w:r>
      <w:bookmarkStart w:id="1" w:name="OLE_LINK3"/>
      <w:r>
        <w:rPr>
          <w:rFonts w:ascii="Arial" w:hAnsi="Arial" w:cs="Arial"/>
          <w:b/>
        </w:rPr>
        <w:t>R19 Ambient IoT Work Proposal</w:t>
      </w:r>
      <w:bookmarkEnd w:id="1"/>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 xml:space="preserve">Discussion </w:t>
      </w:r>
      <w:r>
        <w:rPr>
          <w:rFonts w:ascii="Arial" w:hAnsi="Arial" w:cs="Arial"/>
          <w:b/>
          <w:color w:val="222222"/>
          <w:shd w:val="clear" w:color="auto" w:fill="FFFFFF"/>
        </w:rPr>
        <w:t>and 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30.1</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New Study Items / Rel-19</w:t>
      </w:r>
    </w:p>
    <w:p>
      <w:pPr>
        <w:jc w:val="both"/>
        <w:rPr>
          <w:rFonts w:ascii="Arial" w:hAnsi="Arial" w:cs="Arial"/>
          <w:i/>
        </w:rPr>
      </w:pPr>
      <w:r>
        <w:rPr>
          <w:rFonts w:ascii="Arial" w:hAnsi="Arial" w:cs="Arial"/>
          <w:i/>
        </w:rPr>
        <w:t>Abstract: the discussion paper provides detailed analysis why Rel-19 Ambient IoT work is essential to operators. In addition, the scope of SA2 rel-19 work and final TU consideration is proposed.</w:t>
      </w:r>
    </w:p>
    <w:p>
      <w:pPr>
        <w:pStyle w:val="2"/>
      </w:pPr>
      <w:r>
        <w:t>1. Why Ambient IoT Is Important to Operators</w:t>
      </w:r>
    </w:p>
    <w:p>
      <w:pPr>
        <w:pStyle w:val="3"/>
        <w:rPr>
          <w:lang w:eastAsia="zh-CN"/>
        </w:rPr>
      </w:pPr>
      <w:r>
        <w:rPr>
          <w:rFonts w:hint="eastAsia"/>
          <w:lang w:eastAsia="zh-CN"/>
        </w:rPr>
        <w:t>1.1</w:t>
      </w:r>
      <w:r>
        <w:rPr>
          <w:lang w:eastAsia="zh-CN"/>
        </w:rPr>
        <w:t xml:space="preserve"> </w:t>
      </w:r>
      <w:r>
        <w:rPr>
          <w:rFonts w:hint="eastAsia"/>
          <w:lang w:eastAsia="zh-CN"/>
        </w:rPr>
        <w:t>Ambient</w:t>
      </w:r>
      <w:r>
        <w:rPr>
          <w:lang w:eastAsia="zh-CN"/>
        </w:rPr>
        <w:t xml:space="preserve"> </w:t>
      </w:r>
      <w:r>
        <w:rPr>
          <w:rFonts w:hint="eastAsia"/>
          <w:lang w:eastAsia="zh-CN"/>
        </w:rPr>
        <w:t>IoT</w:t>
      </w:r>
      <w:r>
        <w:rPr>
          <w:lang w:eastAsia="zh-CN"/>
        </w:rPr>
        <w:t xml:space="preserve"> targets</w:t>
      </w:r>
      <w:r>
        <w:rPr>
          <w:rFonts w:hint="eastAsia"/>
          <w:lang w:eastAsia="zh-CN"/>
        </w:rPr>
        <w:t xml:space="preserve"> </w:t>
      </w:r>
      <w:r>
        <w:rPr>
          <w:lang w:eastAsia="zh-CN"/>
        </w:rPr>
        <w:t>different markets than existing 3GPP IoT technologies</w:t>
      </w:r>
    </w:p>
    <w:p>
      <w:pPr>
        <w:rPr>
          <w:rFonts w:eastAsiaTheme="minorEastAsia"/>
          <w:lang w:eastAsia="zh-CN"/>
        </w:rPr>
      </w:pPr>
      <w:r>
        <w:rPr>
          <w:rFonts w:eastAsiaTheme="minorEastAsia"/>
          <w:lang w:eastAsia="zh-CN"/>
        </w:rPr>
        <w:t>TR 22.840 (Study on Ambient power-enabled Internet of Things) has been concluded by SA1, in which it captures use cases, traffic scenarios, device constraints of ambient power-enabled Internet of Things and identifies new potential service requirements as well as new KPIs. SA1 are considering devices being either battery-less or with limited energy storage capability (i.e., using a capacitor) and the energy is provided through the harvesting of radio waves, light, motion, heat, or any other power source that could be seen suitable.</w:t>
      </w:r>
    </w:p>
    <w:p>
      <w:pPr>
        <w:rPr>
          <w:rFonts w:eastAsiaTheme="minorEastAsia"/>
          <w:lang w:eastAsia="zh-CN"/>
        </w:rPr>
      </w:pPr>
      <w:r>
        <w:rPr>
          <w:rFonts w:eastAsiaTheme="minorEastAsia"/>
          <w:lang w:eastAsia="zh-CN"/>
        </w:rPr>
        <w:t xml:space="preserve">Further reduction of size, complexity, and power consumption of IoT devices can enable the deployment of tens or even hundreds of billion IoT devices for various applications and provide added value across the entire value chain. </w:t>
      </w:r>
      <w:r>
        <w:rPr>
          <w:lang w:eastAsia="zh-CN"/>
        </w:rPr>
        <w:t xml:space="preserve">Considering the limited size and complexity required by practical applications for battery-less devices </w:t>
      </w:r>
      <w:r>
        <w:t>with no energy storage capability</w:t>
      </w:r>
      <w:r>
        <w:rPr>
          <w:lang w:eastAsia="zh-CN"/>
        </w:rPr>
        <w:t xml:space="preserve"> or devices with limited </w:t>
      </w:r>
      <w:r>
        <w:rPr>
          <w:lang w:val="en-US" w:eastAsia="zh-CN"/>
        </w:rPr>
        <w:t>energy storage</w:t>
      </w:r>
      <w:r>
        <w:rPr>
          <w:lang w:eastAsia="zh-CN"/>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w:t>
      </w:r>
    </w:p>
    <w:p>
      <w:pPr>
        <w:rPr>
          <w:rFonts w:eastAsiaTheme="minorEastAsia"/>
          <w:lang w:eastAsia="zh-CN"/>
        </w:rPr>
      </w:pPr>
      <w:r>
        <w:rPr>
          <w:rFonts w:eastAsiaTheme="minorEastAsia"/>
          <w:lang w:eastAsia="zh-CN"/>
        </w:rPr>
        <w:t>Following is the comparison of Ambient IoT (passive IoT) with other IoT technologies</w:t>
      </w:r>
      <w:r>
        <w:rPr>
          <w:rFonts w:hint="eastAsia" w:eastAsiaTheme="minorEastAsia"/>
          <w:lang w:eastAsia="zh-CN"/>
        </w:rPr>
        <w:t>.</w:t>
      </w:r>
    </w:p>
    <w:p>
      <w:pPr>
        <w:jc w:val="center"/>
        <w:rPr>
          <w:rFonts w:eastAsiaTheme="minorEastAsia"/>
          <w:lang w:eastAsia="zh-CN"/>
        </w:rPr>
      </w:pPr>
      <w:r>
        <w:rPr>
          <w:rFonts w:eastAsiaTheme="minorEastAsia"/>
          <w:lang w:val="en-US" w:eastAsia="zh-CN"/>
        </w:rPr>
        <w:drawing>
          <wp:inline distT="0" distB="0" distL="0" distR="0">
            <wp:extent cx="3889375" cy="29692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89375" cy="2969260"/>
                    </a:xfrm>
                    <a:prstGeom prst="rect">
                      <a:avLst/>
                    </a:prstGeom>
                    <a:noFill/>
                  </pic:spPr>
                </pic:pic>
              </a:graphicData>
            </a:graphic>
          </wp:inline>
        </w:drawing>
      </w:r>
    </w:p>
    <w:p>
      <w:pPr>
        <w:rPr>
          <w:rFonts w:eastAsiaTheme="minorEastAsia"/>
          <w:lang w:eastAsia="zh-CN"/>
        </w:rPr>
      </w:pPr>
      <w:r>
        <w:rPr>
          <w:rFonts w:eastAsiaTheme="minorEastAsia"/>
          <w:lang w:eastAsia="zh-CN"/>
        </w:rPr>
        <w:t>As shown in the June 2023 SA workshop, operators are very interested on Ambient IoT, either as new potential business or for public safety purpose:</w:t>
      </w:r>
    </w:p>
    <w:p>
      <w:pPr>
        <w:pStyle w:val="84"/>
        <w:numPr>
          <w:ilvl w:val="0"/>
          <w:numId w:val="1"/>
        </w:numPr>
        <w:rPr>
          <w:rFonts w:eastAsiaTheme="minorEastAsia"/>
          <w:b/>
          <w:lang w:eastAsia="zh-CN"/>
        </w:rPr>
      </w:pPr>
      <w:r>
        <w:rPr>
          <w:b/>
        </w:rPr>
        <w:t xml:space="preserve">New business point of view, Orange (SWS-230003): </w:t>
      </w:r>
    </w:p>
    <w:p>
      <w:pPr>
        <w:pStyle w:val="84"/>
        <w:ind w:left="360"/>
      </w:pPr>
      <w:r>
        <w:t xml:space="preserve">Zero / Ultra low energy devices with ambient energy harvesting (RF / solar) </w:t>
      </w:r>
    </w:p>
    <w:p>
      <w:pPr>
        <w:pStyle w:val="84"/>
        <w:ind w:left="360"/>
      </w:pPr>
      <w:r>
        <w:t xml:space="preserve">▪ Use cases of interest for operators: </w:t>
      </w:r>
    </w:p>
    <w:p>
      <w:pPr>
        <w:pStyle w:val="84"/>
        <w:ind w:left="560" w:leftChars="280"/>
      </w:pPr>
      <w:r>
        <w:t xml:space="preserve">o Passive tags (RFID-like): asset tracking, UE geolocation </w:t>
      </w:r>
    </w:p>
    <w:p>
      <w:pPr>
        <w:pStyle w:val="84"/>
        <w:ind w:left="560" w:leftChars="280"/>
      </w:pPr>
      <w:r>
        <w:t xml:space="preserve">o Semi-passive IoT / Active IoT: low complexity sensors </w:t>
      </w:r>
    </w:p>
    <w:p>
      <w:pPr>
        <w:pStyle w:val="84"/>
        <w:ind w:left="360"/>
      </w:pPr>
      <w:r>
        <w:t>▪ Key operator requirements: network control with tag &amp; UE (authentication, billing,…)</w:t>
      </w:r>
    </w:p>
    <w:p>
      <w:pPr>
        <w:rPr>
          <w:rFonts w:eastAsiaTheme="minorEastAsia"/>
          <w:lang w:eastAsia="zh-CN"/>
        </w:rPr>
      </w:pPr>
      <w:r>
        <w:rPr>
          <w:rFonts w:eastAsiaTheme="minorEastAsia"/>
          <w:lang w:eastAsia="zh-CN"/>
        </w:rPr>
        <w:t xml:space="preserve">The high priority need is also clear for “Ambient IoT” in Rel-19 is also seen from operators’ documents such as </w:t>
      </w:r>
      <w:r>
        <w:rPr>
          <w:rFonts w:hint="eastAsia" w:eastAsiaTheme="minorEastAsia"/>
          <w:lang w:eastAsia="zh-CN"/>
        </w:rPr>
        <w:t>SWS-</w:t>
      </w:r>
      <w:r>
        <w:rPr>
          <w:rFonts w:eastAsiaTheme="minorEastAsia"/>
          <w:lang w:eastAsia="zh-CN"/>
        </w:rPr>
        <w:t xml:space="preserve">230068 (China Mobile), </w:t>
      </w:r>
      <w:r>
        <w:rPr>
          <w:rFonts w:hint="eastAsia" w:eastAsiaTheme="minorEastAsia"/>
          <w:lang w:eastAsia="zh-CN"/>
        </w:rPr>
        <w:t>SWS-</w:t>
      </w:r>
      <w:r>
        <w:rPr>
          <w:rFonts w:eastAsiaTheme="minorEastAsia"/>
          <w:lang w:eastAsia="zh-CN"/>
        </w:rPr>
        <w:t>230013 (Telecom Italia), SWS-230021(SK Telecom, KT, LG Uplus), SWS-230023 (KPN), SWS-230033(China Unicom), SWS-230054(NTT DOCOMO), etc.</w:t>
      </w:r>
    </w:p>
    <w:p>
      <w:pPr>
        <w:pStyle w:val="84"/>
        <w:numPr>
          <w:ilvl w:val="0"/>
          <w:numId w:val="1"/>
        </w:numPr>
        <w:rPr>
          <w:rFonts w:eastAsiaTheme="minorEastAsia"/>
          <w:b/>
          <w:lang w:eastAsia="zh-CN"/>
        </w:rPr>
      </w:pPr>
      <w:r>
        <w:rPr>
          <w:rFonts w:eastAsiaTheme="minorEastAsia"/>
          <w:b/>
          <w:lang w:eastAsia="zh-CN"/>
        </w:rPr>
        <w:t xml:space="preserve">Public safety point of view, </w:t>
      </w:r>
      <w:r>
        <w:rPr>
          <w:rFonts w:hint="eastAsia" w:eastAsiaTheme="minorEastAsia"/>
          <w:b/>
          <w:lang w:eastAsia="zh-CN"/>
        </w:rPr>
        <w:t>F</w:t>
      </w:r>
      <w:r>
        <w:rPr>
          <w:rFonts w:eastAsiaTheme="minorEastAsia"/>
          <w:b/>
          <w:lang w:eastAsia="zh-CN"/>
        </w:rPr>
        <w:t>irstNet (SWS-230039):</w:t>
      </w:r>
    </w:p>
    <w:p>
      <w:pPr>
        <w:pStyle w:val="84"/>
        <w:ind w:left="360"/>
        <w:rPr>
          <w:rFonts w:eastAsiaTheme="minorEastAsia"/>
          <w:lang w:eastAsia="zh-CN"/>
        </w:rPr>
      </w:pPr>
      <w:r>
        <w:rPr>
          <w:rFonts w:eastAsiaTheme="minorEastAsia"/>
          <w:lang w:eastAsia="zh-CN"/>
        </w:rPr>
        <w:t>“Ambient Power-enabled IoT” devices in terms of “Resource management and availability” is considered as Rel-19 priority topic.</w:t>
      </w:r>
    </w:p>
    <w:p>
      <w:pPr>
        <w:pStyle w:val="3"/>
        <w:rPr>
          <w:lang w:eastAsia="zh-CN"/>
        </w:rPr>
      </w:pPr>
      <w:r>
        <w:rPr>
          <w:rFonts w:hint="eastAsia"/>
          <w:lang w:eastAsia="zh-CN"/>
        </w:rPr>
        <w:t>1</w:t>
      </w:r>
      <w:r>
        <w:rPr>
          <w:lang w:eastAsia="zh-CN"/>
        </w:rPr>
        <w:t>.2 RFID technology constraints its value to industries</w:t>
      </w:r>
    </w:p>
    <w:p>
      <w:pPr>
        <w:rPr>
          <w:rFonts w:eastAsiaTheme="minorEastAsia"/>
          <w:lang w:eastAsia="zh-CN"/>
        </w:rPr>
      </w:pPr>
      <w:r>
        <w:rPr>
          <w:rFonts w:eastAsiaTheme="minorEastAsia"/>
          <w:lang w:eastAsia="zh-CN"/>
        </w:rPr>
        <w:t>An example type of application in TR 22.840 is asset identification, which presently resorts mainly to barcodes and RFID devices in most industries. The main advantage of these two technologies is the ultra-low complexity and small form factor. However, the limited reading range of a few meters usually requires handheld scanning which leads to labour intensive and time-consuming operations. Moreover, the lack of interference management scheme results in severe interference between RFID readers and capacity problems, especially in case of dense deployments. It is hard to support a large-scale network with seamless coverage for RFID.</w:t>
      </w:r>
    </w:p>
    <w:p>
      <w:pPr>
        <w:pStyle w:val="3"/>
        <w:rPr>
          <w:lang w:eastAsia="zh-CN"/>
        </w:rPr>
      </w:pPr>
      <w:r>
        <w:rPr>
          <w:rFonts w:hint="eastAsia"/>
          <w:lang w:eastAsia="zh-CN"/>
        </w:rPr>
        <w:t>1</w:t>
      </w:r>
      <w:r>
        <w:rPr>
          <w:lang w:eastAsia="zh-CN"/>
        </w:rPr>
        <w:t>.3 Competitive technologies are growing rapidly</w:t>
      </w:r>
    </w:p>
    <w:p>
      <w:pPr>
        <w:rPr>
          <w:rFonts w:eastAsiaTheme="minorEastAsia"/>
          <w:lang w:val="en-US" w:eastAsia="zh-CN"/>
        </w:rPr>
      </w:pPr>
      <w:r>
        <w:rPr>
          <w:rFonts w:eastAsiaTheme="minorEastAsia"/>
          <w:lang w:val="en-US" w:eastAsia="zh-CN"/>
        </w:rPr>
        <w:t>Industries are also looking at other non-3GPP based solutions for long-life maintenance-free device, such as WiFi, Bluetooth, and LoRa.</w:t>
      </w:r>
    </w:p>
    <w:p>
      <w:pPr>
        <w:pStyle w:val="84"/>
        <w:numPr>
          <w:ilvl w:val="0"/>
          <w:numId w:val="2"/>
        </w:numPr>
      </w:pPr>
      <w:r>
        <w:t>AMbient Power (AMP) is “a new TIG/SG within the IEEE 802.11 working group that will address the problem of support of Ambient Power communication in 802.11 network” [1]</w:t>
      </w:r>
    </w:p>
    <w:p>
      <w:pPr>
        <w:pStyle w:val="84"/>
        <w:numPr>
          <w:ilvl w:val="0"/>
          <w:numId w:val="3"/>
        </w:numPr>
        <w:rPr>
          <w:rFonts w:eastAsiaTheme="minorEastAsia"/>
          <w:lang w:val="en-US" w:eastAsia="zh-CN"/>
        </w:rPr>
      </w:pPr>
      <w:r>
        <w:rPr>
          <w:rFonts w:eastAsiaTheme="minorEastAsia"/>
          <w:lang w:val="en-US" w:eastAsia="zh-CN"/>
        </w:rPr>
        <w:t>AMP TIG has been started and completed in July 2022 and Mar 2023, respectively</w:t>
      </w:r>
    </w:p>
    <w:p>
      <w:pPr>
        <w:pStyle w:val="84"/>
        <w:numPr>
          <w:ilvl w:val="0"/>
          <w:numId w:val="3"/>
        </w:numPr>
        <w:rPr>
          <w:rFonts w:eastAsiaTheme="minorEastAsia"/>
          <w:lang w:val="en-US" w:eastAsia="zh-CN"/>
        </w:rPr>
      </w:pPr>
      <w:r>
        <w:rPr>
          <w:rFonts w:eastAsiaTheme="minorEastAsia"/>
          <w:lang w:val="en-US" w:eastAsia="zh-CN"/>
        </w:rPr>
        <w:t>AMP SG was approved in Mar 2023, with first meeting to be in May 2023</w:t>
      </w:r>
    </w:p>
    <w:p>
      <w:pPr>
        <w:pStyle w:val="84"/>
        <w:numPr>
          <w:ilvl w:val="0"/>
          <w:numId w:val="3"/>
        </w:numPr>
        <w:rPr>
          <w:rFonts w:eastAsiaTheme="minorEastAsia"/>
          <w:lang w:val="en-US" w:eastAsia="zh-CN"/>
        </w:rPr>
      </w:pPr>
      <w:r>
        <w:rPr>
          <w:rFonts w:eastAsiaTheme="minorEastAsia"/>
          <w:lang w:val="en-US" w:eastAsia="zh-CN"/>
        </w:rPr>
        <w:t>Many start-ups put efforts in Bluetooth Low Energy based batteryless device</w:t>
      </w:r>
    </w:p>
    <w:p>
      <w:pPr>
        <w:pStyle w:val="84"/>
        <w:numPr>
          <w:ilvl w:val="0"/>
          <w:numId w:val="3"/>
        </w:numPr>
        <w:rPr>
          <w:rFonts w:eastAsiaTheme="minorEastAsia"/>
          <w:lang w:val="en-US" w:eastAsia="zh-CN"/>
        </w:rPr>
      </w:pPr>
      <w:r>
        <w:rPr>
          <w:rFonts w:eastAsiaTheme="minorEastAsia"/>
          <w:lang w:val="en-US" w:eastAsia="zh-CN"/>
        </w:rPr>
        <w:t>LoRa nano-tag is “a disposable, ultrathin and low-cost tag that can be integrated into disposable systems or attached to assets to communicate a specific trigger of an event” [2]</w:t>
      </w:r>
    </w:p>
    <w:p>
      <w:r>
        <w:t>Once a huge amount of connections been captured by other technologies, it is uncertain whether 3GPP technologies can regain the market share and the opportunity will be lost.</w:t>
      </w:r>
    </w:p>
    <w:p>
      <w:pPr>
        <w:pStyle w:val="3"/>
        <w:rPr>
          <w:rStyle w:val="33"/>
          <w:rFonts w:ascii="Times New Roman" w:hAnsi="Times New Roman"/>
          <w:b w:val="0"/>
          <w:bCs w:val="0"/>
          <w:color w:val="000000"/>
          <w:sz w:val="20"/>
          <w:lang w:eastAsia="zh-CN"/>
        </w:rPr>
      </w:pPr>
      <w:r>
        <w:rPr>
          <w:rFonts w:hint="eastAsia"/>
          <w:lang w:eastAsia="zh-CN"/>
        </w:rPr>
        <w:t>1</w:t>
      </w:r>
      <w:r>
        <w:rPr>
          <w:lang w:eastAsia="zh-CN"/>
        </w:rPr>
        <w:t>.4 Conclusion</w:t>
      </w:r>
    </w:p>
    <w:p>
      <w:pPr>
        <w:rPr>
          <w:rStyle w:val="33"/>
        </w:rPr>
      </w:pPr>
      <w:r>
        <w:rPr>
          <w:rStyle w:val="33"/>
          <w:rFonts w:hint="eastAsia"/>
        </w:rPr>
        <w:t>C</w:t>
      </w:r>
      <w:r>
        <w:rPr>
          <w:rStyle w:val="33"/>
        </w:rPr>
        <w:t xml:space="preserve">onclusion: Ambient IoT opens new business to operators with big marketing values. Standards work is very urgent </w:t>
      </w:r>
      <w:r>
        <w:rPr>
          <w:rStyle w:val="33"/>
          <w:rFonts w:hint="eastAsia"/>
        </w:rPr>
        <w:t>t</w:t>
      </w:r>
      <w:r>
        <w:rPr>
          <w:rStyle w:val="33"/>
        </w:rPr>
        <w:t>o ensure a quick push-to-market of the service. Therefore, Rel-19 normative work is essential.</w:t>
      </w:r>
    </w:p>
    <w:p>
      <w:pPr>
        <w:pStyle w:val="2"/>
        <w:rPr>
          <w:lang w:eastAsia="zh-CN"/>
        </w:rPr>
      </w:pPr>
      <w:r>
        <w:rPr>
          <w:lang w:eastAsia="zh-CN"/>
        </w:rPr>
        <w:t xml:space="preserve">2. R19 SA2 Ambient IoT </w:t>
      </w:r>
      <w:r>
        <w:rPr>
          <w:rFonts w:hint="eastAsia"/>
          <w:lang w:eastAsia="zh-CN"/>
        </w:rPr>
        <w:t>Scope</w:t>
      </w:r>
      <w:r>
        <w:rPr>
          <w:lang w:eastAsia="zh-CN"/>
        </w:rPr>
        <w:t xml:space="preserve"> consideration</w:t>
      </w:r>
    </w:p>
    <w:p>
      <w:pPr>
        <w:rPr>
          <w:rFonts w:eastAsiaTheme="minorEastAsia"/>
          <w:lang w:eastAsia="zh-CN"/>
        </w:rPr>
      </w:pPr>
      <w:r>
        <w:rPr>
          <w:rFonts w:eastAsiaTheme="minorEastAsia"/>
          <w:lang w:eastAsia="zh-CN"/>
        </w:rPr>
        <w:t>Current SA2 SID covers the following aspects:</w:t>
      </w:r>
    </w:p>
    <w:p>
      <w:pPr>
        <w:pStyle w:val="57"/>
        <w:rPr>
          <w:lang w:val="en-US" w:eastAsia="zh-CN"/>
        </w:rPr>
      </w:pPr>
      <w:r>
        <w:rPr>
          <w:lang w:val="en-US" w:eastAsia="zh-CN"/>
        </w:rPr>
        <w:t>-</w:t>
      </w:r>
      <w:r>
        <w:rPr>
          <w:lang w:val="en-US" w:eastAsia="zh-CN"/>
        </w:rPr>
        <w:tab/>
      </w:r>
      <w:r>
        <w:rPr>
          <w:lang w:val="en-US" w:eastAsia="zh-CN"/>
        </w:rPr>
        <w:t>WT#1 Architecture to support Ambient IoT</w:t>
      </w:r>
    </w:p>
    <w:p>
      <w:pPr>
        <w:pStyle w:val="57"/>
        <w:rPr>
          <w:lang w:val="en-US" w:eastAsia="zh-CN"/>
        </w:rPr>
      </w:pPr>
      <w:r>
        <w:rPr>
          <w:lang w:val="en-US" w:eastAsia="zh-CN"/>
        </w:rPr>
        <w:t>-</w:t>
      </w:r>
      <w:r>
        <w:rPr>
          <w:lang w:val="en-US" w:eastAsia="zh-CN"/>
        </w:rPr>
        <w:tab/>
      </w:r>
      <w:r>
        <w:rPr>
          <w:lang w:val="en-US" w:eastAsia="zh-CN"/>
        </w:rPr>
        <w:t>WT#2 void</w:t>
      </w:r>
    </w:p>
    <w:p>
      <w:pPr>
        <w:pStyle w:val="57"/>
        <w:rPr>
          <w:lang w:val="en-US" w:eastAsia="zh-CN"/>
        </w:rPr>
      </w:pPr>
      <w:r>
        <w:rPr>
          <w:lang w:val="en-US" w:eastAsia="zh-CN"/>
        </w:rPr>
        <w:t>-</w:t>
      </w:r>
      <w:r>
        <w:rPr>
          <w:lang w:val="en-US" w:eastAsia="zh-CN"/>
        </w:rPr>
        <w:tab/>
      </w:r>
      <w:r>
        <w:rPr>
          <w:lang w:val="en-US" w:eastAsia="zh-CN"/>
        </w:rPr>
        <w:t>WT#3 Identification, Subscription, Registration and Connection management to support Ambient IoT devices</w:t>
      </w:r>
    </w:p>
    <w:p>
      <w:pPr>
        <w:pStyle w:val="105"/>
        <w:numPr>
          <w:ilvl w:val="1"/>
          <w:numId w:val="4"/>
        </w:numPr>
        <w:rPr>
          <w:rFonts w:ascii="Times New Roman" w:hAnsi="Times New Roman"/>
          <w:bCs/>
          <w:lang w:val="en-US" w:eastAsia="zh-CN"/>
        </w:rPr>
      </w:pPr>
      <w:r>
        <w:rPr>
          <w:rFonts w:ascii="Times New Roman" w:hAnsi="Times New Roman"/>
          <w:bCs/>
          <w:lang w:val="en-US" w:eastAsia="zh-CN"/>
        </w:rPr>
        <w:t>WT#3.1 Study whether subscription management, registration management and/or connection</w:t>
      </w:r>
      <w:r>
        <w:rPr>
          <w:rFonts w:hint="eastAsia" w:ascii="Times New Roman" w:hAnsi="Times New Roman"/>
          <w:bCs/>
          <w:lang w:val="en-US" w:eastAsia="zh-CN"/>
        </w:rPr>
        <w:t xml:space="preserve"> </w:t>
      </w:r>
      <w:r>
        <w:rPr>
          <w:rFonts w:ascii="Times New Roman" w:hAnsi="Times New Roman"/>
          <w:bCs/>
          <w:lang w:val="en-US" w:eastAsia="zh-CN"/>
        </w:rPr>
        <w:t>management are necessary, and if so identify the necessary state machine(s), procedures and functionality considering the Ambient IoT devices capability and characteristics;</w:t>
      </w:r>
    </w:p>
    <w:p>
      <w:pPr>
        <w:pStyle w:val="105"/>
        <w:numPr>
          <w:ilvl w:val="1"/>
          <w:numId w:val="4"/>
        </w:numPr>
        <w:rPr>
          <w:rFonts w:ascii="Times New Roman" w:hAnsi="Times New Roman"/>
          <w:bCs/>
          <w:lang w:val="en-US" w:eastAsia="zh-CN"/>
        </w:rPr>
      </w:pPr>
      <w:r>
        <w:rPr>
          <w:rFonts w:ascii="Times New Roman" w:hAnsi="Times New Roman"/>
          <w:bCs/>
          <w:lang w:val="en-US" w:eastAsia="zh-CN"/>
        </w:rPr>
        <w:t>WT#3.2</w:t>
      </w:r>
      <w:r>
        <w:rPr>
          <w:rFonts w:ascii="Times New Roman" w:hAnsi="Times New Roman"/>
          <w:bCs/>
          <w:lang w:val="en-US"/>
        </w:rPr>
        <w:t xml:space="preserve"> Study whether and how reachability and paging apply to Ambient IoT device(s) considering the Ambient IoT devices capability and characteristics, and if so, what are the impacts</w:t>
      </w:r>
      <w:r>
        <w:rPr>
          <w:rFonts w:hint="eastAsia" w:ascii="Times New Roman" w:hAnsi="Times New Roman"/>
          <w:bCs/>
          <w:lang w:val="en-US" w:eastAsia="zh-CN"/>
        </w:rPr>
        <w:t>.</w:t>
      </w:r>
    </w:p>
    <w:p>
      <w:pPr>
        <w:pStyle w:val="105"/>
        <w:numPr>
          <w:ilvl w:val="1"/>
          <w:numId w:val="4"/>
        </w:numPr>
        <w:rPr>
          <w:rFonts w:ascii="Times New Roman" w:hAnsi="Times New Roman"/>
          <w:bCs/>
          <w:lang w:val="en-US" w:eastAsia="zh-CN"/>
        </w:rPr>
      </w:pPr>
      <w:r>
        <w:rPr>
          <w:rFonts w:ascii="Times New Roman" w:hAnsi="Times New Roman"/>
          <w:bCs/>
          <w:lang w:val="en-US" w:eastAsia="zh-CN"/>
        </w:rPr>
        <w:t>WT#3.3 Study how to identify Ambient IoT device or group of devices and how to format the identifier.</w:t>
      </w:r>
    </w:p>
    <w:p>
      <w:pPr>
        <w:pStyle w:val="57"/>
        <w:rPr>
          <w:lang w:val="en-US" w:eastAsia="zh-CN"/>
        </w:rPr>
      </w:pPr>
      <w:r>
        <w:rPr>
          <w:lang w:val="en-US" w:eastAsia="zh-CN"/>
        </w:rPr>
        <w:t>-</w:t>
      </w:r>
      <w:r>
        <w:rPr>
          <w:lang w:val="en-US" w:eastAsia="zh-CN"/>
        </w:rPr>
        <w:tab/>
      </w:r>
      <w:r>
        <w:rPr>
          <w:lang w:val="en-US" w:eastAsia="zh-CN"/>
        </w:rPr>
        <w:t xml:space="preserve">WT#4 Ambient IoT Services </w:t>
      </w:r>
    </w:p>
    <w:p>
      <w:pPr>
        <w:pStyle w:val="57"/>
        <w:rPr>
          <w:lang w:val="en-US" w:eastAsia="zh-CN"/>
        </w:rPr>
      </w:pPr>
      <w:r>
        <w:rPr>
          <w:lang w:val="en-US" w:eastAsia="zh-CN"/>
        </w:rPr>
        <w:t>-</w:t>
      </w:r>
      <w:r>
        <w:rPr>
          <w:lang w:val="en-US" w:eastAsia="zh-CN"/>
        </w:rPr>
        <w:tab/>
      </w:r>
      <w:r>
        <w:rPr>
          <w:lang w:val="en-US" w:eastAsia="zh-CN"/>
        </w:rPr>
        <w:t>WT#5 Architecture support of the following security related aspects</w:t>
      </w:r>
    </w:p>
    <w:p>
      <w:pPr>
        <w:pStyle w:val="105"/>
        <w:numPr>
          <w:ilvl w:val="1"/>
          <w:numId w:val="4"/>
        </w:numPr>
        <w:rPr>
          <w:rFonts w:ascii="Times New Roman" w:hAnsi="Times New Roman"/>
          <w:bCs/>
          <w:highlight w:val="yellow"/>
          <w:lang w:val="en-US" w:eastAsia="zh-CN"/>
        </w:rPr>
      </w:pPr>
      <w:r>
        <w:rPr>
          <w:rFonts w:ascii="Times New Roman" w:hAnsi="Times New Roman"/>
          <w:bCs/>
          <w:highlight w:val="yellow"/>
          <w:lang w:val="en-US" w:eastAsia="zh-CN"/>
        </w:rPr>
        <w:t>WT#5.1 Study architecture aspects to support authentication and authorization and privacy for the Ambient</w:t>
      </w:r>
      <w:r>
        <w:rPr>
          <w:rFonts w:hint="eastAsia" w:ascii="Times New Roman" w:hAnsi="Times New Roman"/>
          <w:bCs/>
          <w:highlight w:val="yellow"/>
          <w:lang w:val="en-US" w:eastAsia="zh-CN"/>
        </w:rPr>
        <w:t xml:space="preserve"> </w:t>
      </w:r>
      <w:r>
        <w:rPr>
          <w:rFonts w:ascii="Times New Roman" w:hAnsi="Times New Roman"/>
          <w:bCs/>
          <w:highlight w:val="yellow"/>
          <w:lang w:val="en-US" w:eastAsia="zh-CN"/>
        </w:rPr>
        <w:t>IoT devices (detailed authentication mechanism will be defined in SA3), including validation of</w:t>
      </w:r>
      <w:r>
        <w:rPr>
          <w:rFonts w:hint="eastAsia" w:ascii="Times New Roman" w:hAnsi="Times New Roman"/>
          <w:bCs/>
          <w:highlight w:val="yellow"/>
          <w:lang w:val="en-US" w:eastAsia="zh-CN"/>
        </w:rPr>
        <w:t xml:space="preserve"> </w:t>
      </w:r>
      <w:r>
        <w:rPr>
          <w:rFonts w:ascii="Times New Roman" w:hAnsi="Times New Roman"/>
          <w:bCs/>
          <w:highlight w:val="yellow"/>
          <w:lang w:val="en-US" w:eastAsia="zh-CN"/>
        </w:rPr>
        <w:t>the device’s ID</w:t>
      </w:r>
    </w:p>
    <w:p>
      <w:pPr>
        <w:pStyle w:val="105"/>
        <w:numPr>
          <w:ilvl w:val="1"/>
          <w:numId w:val="4"/>
        </w:numPr>
        <w:rPr>
          <w:rFonts w:ascii="Times New Roman" w:hAnsi="Times New Roman"/>
          <w:bCs/>
          <w:highlight w:val="yellow"/>
          <w:lang w:val="en-US" w:eastAsia="zh-CN"/>
        </w:rPr>
      </w:pPr>
      <w:r>
        <w:rPr>
          <w:rFonts w:ascii="Times New Roman" w:hAnsi="Times New Roman"/>
          <w:bCs/>
          <w:highlight w:val="yellow"/>
          <w:lang w:val="en-US" w:eastAsia="zh-CN"/>
        </w:rPr>
        <w:t>WT#5.2 Study how to securely disable Ambient</w:t>
      </w:r>
      <w:r>
        <w:rPr>
          <w:rFonts w:hint="eastAsia" w:ascii="Times New Roman" w:hAnsi="Times New Roman"/>
          <w:bCs/>
          <w:highlight w:val="yellow"/>
          <w:lang w:val="en-US" w:eastAsia="zh-CN"/>
        </w:rPr>
        <w:t xml:space="preserve"> </w:t>
      </w:r>
      <w:r>
        <w:rPr>
          <w:rFonts w:ascii="Times New Roman" w:hAnsi="Times New Roman"/>
          <w:bCs/>
          <w:highlight w:val="yellow"/>
          <w:lang w:val="en-US" w:eastAsia="zh-CN"/>
        </w:rPr>
        <w:t>IoT devices.</w:t>
      </w:r>
      <w:r>
        <w:rPr>
          <w:rFonts w:hint="eastAsia" w:ascii="Times New Roman" w:hAnsi="Times New Roman"/>
          <w:bCs/>
          <w:highlight w:val="yellow"/>
          <w:lang w:val="en-US" w:eastAsia="zh-CN"/>
        </w:rPr>
        <w:t xml:space="preserve"> </w:t>
      </w:r>
    </w:p>
    <w:p>
      <w:pPr>
        <w:pStyle w:val="57"/>
        <w:ind w:firstLine="0" w:firstLineChars="0"/>
        <w:rPr>
          <w:rFonts w:hint="default"/>
          <w:lang w:val="en-US" w:eastAsia="zh-CN"/>
        </w:rPr>
      </w:pPr>
    </w:p>
    <w:p>
      <w:pPr>
        <w:rPr>
          <w:rFonts w:hint="default" w:eastAsiaTheme="minorEastAsia"/>
          <w:b/>
          <w:lang w:val="en-US" w:eastAsia="zh-CN"/>
        </w:rPr>
      </w:pPr>
      <w:r>
        <w:rPr>
          <w:rFonts w:eastAsiaTheme="minorEastAsia"/>
          <w:b/>
          <w:lang w:val="en-US" w:eastAsia="zh-CN"/>
        </w:rPr>
        <w:t xml:space="preserve">Proposal: </w:t>
      </w:r>
      <w:bookmarkStart w:id="2" w:name="OLE_LINK1"/>
      <w:r>
        <w:rPr>
          <w:rFonts w:eastAsiaTheme="minorEastAsia"/>
          <w:b/>
          <w:lang w:val="en-US" w:eastAsia="zh-CN"/>
        </w:rPr>
        <w:t>WT#1, 3, 4 are for system architecture work, while WT#5</w:t>
      </w:r>
      <w:r>
        <w:rPr>
          <w:rFonts w:hint="eastAsia" w:eastAsiaTheme="minorEastAsia"/>
          <w:b/>
          <w:lang w:val="en-US" w:eastAsia="zh-CN"/>
        </w:rPr>
        <w:t>, especially the 5.1,</w:t>
      </w:r>
      <w:r>
        <w:rPr>
          <w:rFonts w:eastAsiaTheme="minorEastAsia"/>
          <w:b/>
          <w:lang w:val="en-US" w:eastAsia="zh-CN"/>
        </w:rPr>
        <w:t xml:space="preserve"> is SA3 security work.</w:t>
      </w:r>
      <w:r>
        <w:rPr>
          <w:rFonts w:eastAsiaTheme="minorEastAsia"/>
          <w:b/>
          <w:highlight w:val="yellow"/>
          <w:lang w:val="en-US" w:eastAsia="zh-CN"/>
        </w:rPr>
        <w:t xml:space="preserve"> It would be helpful to transfer WT#5</w:t>
      </w:r>
      <w:r>
        <w:rPr>
          <w:rFonts w:hint="eastAsia" w:eastAsiaTheme="minorEastAsia"/>
          <w:b/>
          <w:highlight w:val="yellow"/>
          <w:lang w:val="en-US" w:eastAsia="zh-CN"/>
        </w:rPr>
        <w:t>.1</w:t>
      </w:r>
      <w:r>
        <w:rPr>
          <w:rFonts w:eastAsiaTheme="minorEastAsia"/>
          <w:b/>
          <w:highlight w:val="yellow"/>
          <w:lang w:val="en-US" w:eastAsia="zh-CN"/>
        </w:rPr>
        <w:t xml:space="preserve"> work to SA3 considering the workload in SA2 is already very high.</w:t>
      </w:r>
      <w:r>
        <w:rPr>
          <w:rFonts w:hint="eastAsia" w:eastAsiaTheme="minorEastAsia"/>
          <w:b/>
          <w:highlight w:val="yellow"/>
          <w:lang w:val="en-US" w:eastAsia="zh-CN"/>
        </w:rPr>
        <w:t xml:space="preserve"> And WT#5.2 can be kept or moved under WT#3, since disabling the IoT device is closely related with system control.</w:t>
      </w:r>
      <w:bookmarkEnd w:id="2"/>
    </w:p>
    <w:p>
      <w:pPr>
        <w:rPr>
          <w:rFonts w:eastAsiaTheme="minorEastAsia"/>
          <w:lang w:val="en-US" w:eastAsia="zh-CN"/>
        </w:rPr>
      </w:pPr>
      <w:r>
        <w:rPr>
          <w:rFonts w:eastAsiaTheme="minorEastAsia"/>
          <w:lang w:val="en-US" w:eastAsia="zh-CN"/>
        </w:rPr>
        <w:t>RAN has concluded TR 38.848 (Study on Ambient IoT (Internet of Things) in RAN), in which device types and topologies are defined:</w:t>
      </w:r>
    </w:p>
    <w:p>
      <w:r>
        <w:t>(1) Following set of Ambient IoT devices are considered:</w:t>
      </w:r>
    </w:p>
    <w:p>
      <w:pPr>
        <w:pStyle w:val="57"/>
      </w:pPr>
      <w:r>
        <w:t>-</w:t>
      </w:r>
      <w:r>
        <w:tab/>
      </w:r>
      <w:r>
        <w:t>Device A: No energy storage, no independent signal generation/amplification, i.e. backscattering transmission.</w:t>
      </w:r>
    </w:p>
    <w:p>
      <w:pPr>
        <w:pStyle w:val="57"/>
      </w:pPr>
      <w:r>
        <w:t>-</w:t>
      </w:r>
      <w:r>
        <w:tab/>
      </w:r>
      <w:r>
        <w:rPr>
          <w:rFonts w:hint="eastAsia"/>
        </w:rPr>
        <w:t xml:space="preserve">Device B: </w:t>
      </w:r>
      <w:r>
        <w:t>Has</w:t>
      </w:r>
      <w:r>
        <w:rPr>
          <w:rFonts w:hint="eastAsia"/>
        </w:rPr>
        <w:t xml:space="preserve"> </w:t>
      </w:r>
      <w:r>
        <w:t xml:space="preserve">energy </w:t>
      </w:r>
      <w:r>
        <w:rPr>
          <w:rFonts w:hint="eastAsia"/>
        </w:rPr>
        <w:t>storage, no independent signal generation, i.e.</w:t>
      </w:r>
      <w:r>
        <w:t xml:space="preserve"> backscattering transmission. Use of stored energy can include amplification for reflected signals.</w:t>
      </w:r>
    </w:p>
    <w:p>
      <w:pPr>
        <w:pStyle w:val="57"/>
      </w:pPr>
      <w:r>
        <w:t>-</w:t>
      </w:r>
      <w:r>
        <w:tab/>
      </w:r>
      <w:r>
        <w:rPr>
          <w:rFonts w:hint="eastAsia"/>
        </w:rPr>
        <w:t xml:space="preserve">Device C: </w:t>
      </w:r>
      <w:r>
        <w:t>Has</w:t>
      </w:r>
      <w:r>
        <w:rPr>
          <w:rFonts w:hint="eastAsia"/>
        </w:rPr>
        <w:t xml:space="preserve"> </w:t>
      </w:r>
      <w:r>
        <w:t xml:space="preserve">energy </w:t>
      </w:r>
      <w:r>
        <w:rPr>
          <w:rFonts w:hint="eastAsia"/>
        </w:rPr>
        <w:t>storage, has independent signal generation, i.</w:t>
      </w:r>
      <w:r>
        <w:t>e., active RF components for transmission.</w:t>
      </w:r>
    </w:p>
    <w:p>
      <w:pPr>
        <w:rPr>
          <w:rFonts w:eastAsiaTheme="minorEastAsia"/>
          <w:lang w:eastAsia="zh-CN"/>
        </w:rPr>
      </w:pPr>
      <w:r>
        <w:rPr>
          <w:rFonts w:eastAsiaTheme="minorEastAsia"/>
          <w:lang w:eastAsia="zh-CN"/>
        </w:rPr>
        <w:t>(2) Following connectivity topologies for Ambient IoT networks and devices are defined:</w:t>
      </w:r>
    </w:p>
    <w:p>
      <w:pPr>
        <w:pStyle w:val="57"/>
        <w:numPr>
          <w:ilvl w:val="0"/>
          <w:numId w:val="5"/>
        </w:numPr>
      </w:pPr>
      <w:r>
        <w:rPr>
          <w:rFonts w:hint="eastAsia"/>
        </w:rPr>
        <w:t xml:space="preserve">Topology 1: BS </w:t>
      </w:r>
      <w:r>
        <w:t>↔</w:t>
      </w:r>
      <w:r>
        <w:rPr>
          <w:rFonts w:hint="eastAsia"/>
        </w:rPr>
        <w:t xml:space="preserve"> Ambient IoT device</w:t>
      </w:r>
    </w:p>
    <w:p>
      <w:pPr>
        <w:pStyle w:val="57"/>
        <w:numPr>
          <w:ilvl w:val="0"/>
          <w:numId w:val="5"/>
        </w:numPr>
      </w:pPr>
      <w:r>
        <w:rPr>
          <w:rFonts w:hint="eastAsia"/>
        </w:rPr>
        <w:t xml:space="preserve">Topology 2: BS </w:t>
      </w:r>
      <w:r>
        <w:t>↔</w:t>
      </w:r>
      <w:r>
        <w:rPr>
          <w:rFonts w:hint="eastAsia"/>
        </w:rPr>
        <w:t xml:space="preserve"> intermediate node </w:t>
      </w:r>
      <w:r>
        <w:t>↔</w:t>
      </w:r>
      <w:r>
        <w:rPr>
          <w:rFonts w:hint="eastAsia"/>
        </w:rPr>
        <w:t xml:space="preserve"> Ambient IoT device</w:t>
      </w:r>
    </w:p>
    <w:p>
      <w:pPr>
        <w:pStyle w:val="57"/>
        <w:numPr>
          <w:ilvl w:val="0"/>
          <w:numId w:val="5"/>
        </w:numPr>
      </w:pPr>
      <w:r>
        <w:rPr>
          <w:rFonts w:hint="eastAsia"/>
        </w:rPr>
        <w:t xml:space="preserve">Topology 3: BS </w:t>
      </w:r>
      <w:r>
        <w:t>↔</w:t>
      </w:r>
      <w:r>
        <w:rPr>
          <w:rFonts w:hint="eastAsia"/>
        </w:rPr>
        <w:t xml:space="preserve"> assisting node </w:t>
      </w:r>
      <w:r>
        <w:t>↔</w:t>
      </w:r>
      <w:r>
        <w:rPr>
          <w:rFonts w:hint="eastAsia"/>
        </w:rPr>
        <w:t xml:space="preserve"> Ambient IoT device </w:t>
      </w:r>
      <w:r>
        <w:t>↔</w:t>
      </w:r>
      <w:r>
        <w:rPr>
          <w:rFonts w:hint="eastAsia"/>
        </w:rPr>
        <w:t xml:space="preserve"> BS</w:t>
      </w:r>
    </w:p>
    <w:p>
      <w:pPr>
        <w:pStyle w:val="57"/>
        <w:numPr>
          <w:ilvl w:val="0"/>
          <w:numId w:val="5"/>
        </w:numPr>
      </w:pPr>
      <w:r>
        <w:rPr>
          <w:rFonts w:hint="eastAsia"/>
        </w:rPr>
        <w:t xml:space="preserve">Topology 4: UE </w:t>
      </w:r>
      <w:r>
        <w:t>↔</w:t>
      </w:r>
      <w:r>
        <w:rPr>
          <w:rFonts w:hint="eastAsia"/>
        </w:rPr>
        <w:t xml:space="preserve"> Ambient IoT device</w:t>
      </w:r>
    </w:p>
    <w:p>
      <w:pPr>
        <w:rPr>
          <w:rFonts w:eastAsiaTheme="minorEastAsia"/>
          <w:lang w:eastAsia="zh-CN"/>
        </w:rPr>
      </w:pPr>
      <w:r>
        <w:rPr>
          <w:rFonts w:hint="eastAsia" w:eastAsiaTheme="minorEastAsia"/>
          <w:lang w:eastAsia="zh-CN"/>
        </w:rPr>
        <w:t>F</w:t>
      </w:r>
      <w:r>
        <w:rPr>
          <w:rFonts w:eastAsiaTheme="minorEastAsia"/>
          <w:lang w:eastAsia="zh-CN"/>
        </w:rPr>
        <w:t>rom SA2 perspective, Topology 2 and Topology 3 are agnostic to core network, therefore SA2 work can consider them as the same topology.</w:t>
      </w:r>
    </w:p>
    <w:p>
      <w:pPr>
        <w:rPr>
          <w:rFonts w:eastAsiaTheme="minorEastAsia"/>
          <w:lang w:eastAsia="zh-CN"/>
        </w:rPr>
      </w:pPr>
      <w:r>
        <w:rPr>
          <w:rFonts w:eastAsiaTheme="minorEastAsia"/>
          <w:lang w:eastAsia="zh-CN"/>
        </w:rPr>
        <w:t>In 23Q3 RAN plenary, RAN has started to down scope the topologies and will continue to discuss further the final scope of the study. This will naturally lead to a reduction of work for SA2, as the</w:t>
      </w:r>
      <w:r>
        <w:rPr>
          <w:rFonts w:hint="eastAsia" w:eastAsiaTheme="minorEastAsia"/>
          <w:lang w:val="en-US" w:eastAsia="zh-CN"/>
        </w:rPr>
        <w:t xml:space="preserve"> </w:t>
      </w:r>
      <w:r>
        <w:rPr>
          <w:rFonts w:hint="eastAsia" w:eastAsiaTheme="minorEastAsia"/>
          <w:highlight w:val="yellow"/>
          <w:lang w:val="en-US" w:eastAsia="zh-CN"/>
        </w:rPr>
        <w:t>current</w:t>
      </w:r>
      <w:r>
        <w:rPr>
          <w:rFonts w:eastAsiaTheme="minorEastAsia"/>
          <w:lang w:eastAsia="zh-CN"/>
        </w:rPr>
        <w:t xml:space="preserve"> TU estimation in the SID assumes all devices and topologies will be studied in RAN.</w:t>
      </w:r>
    </w:p>
    <w:p>
      <w:pPr>
        <w:rPr>
          <w:rFonts w:eastAsiaTheme="minorEastAsia"/>
          <w:lang w:eastAsia="zh-CN"/>
        </w:rPr>
      </w:pPr>
      <w:r>
        <w:rPr>
          <w:rFonts w:eastAsiaTheme="minorEastAsia"/>
          <w:lang w:eastAsia="zh-CN"/>
        </w:rPr>
        <w:t xml:space="preserve">Clause 7 in TR 38.848 (Conclusions and recommendations) indicates Topology 4 is not recommended for further study in Rel-19. SA2 study should reduce the TU for that aspect accordingly. </w:t>
      </w:r>
    </w:p>
    <w:p>
      <w:pPr>
        <w:rPr>
          <w:rFonts w:eastAsiaTheme="minorEastAsia"/>
          <w:lang w:eastAsia="zh-CN"/>
        </w:rPr>
      </w:pPr>
      <w:r>
        <w:rPr>
          <w:rFonts w:eastAsiaTheme="minorEastAsia"/>
          <w:lang w:eastAsia="zh-CN"/>
        </w:rPr>
        <w:t xml:space="preserve">During 23Q4 plenary SA and RAN will decide the final scope of Ambient IoT work, which may result in more focused device type(s) and topology(ies).  </w:t>
      </w:r>
    </w:p>
    <w:p>
      <w:pPr>
        <w:rPr>
          <w:rFonts w:eastAsiaTheme="minorEastAsia"/>
          <w:lang w:eastAsia="zh-CN"/>
        </w:rPr>
      </w:pPr>
      <w:r>
        <w:rPr>
          <w:rFonts w:eastAsiaTheme="minorEastAsia"/>
          <w:lang w:eastAsia="zh-CN"/>
        </w:rPr>
        <w:t>The work tasks in the SID can be seen to study whether and how many aspects should work for Ambient IoT, and we can see that has been reflected in the TUs in the SID. However, it is expected that when the normative works starts the amount of effort will be less, for example there is more effort identifying procedures and their relevance to Ambient IoT than there could be expected reasonable to document that some or all of the procedures or aspects of them don’t apply to Ambient IoT. This means overall the normative TUs should be (slightly) reduced compared to the study phase.</w:t>
      </w:r>
    </w:p>
    <w:p>
      <w:pPr>
        <w:rPr>
          <w:rFonts w:eastAsiaTheme="minorEastAsia"/>
          <w:lang w:eastAsia="zh-CN"/>
        </w:rPr>
      </w:pPr>
      <w:r>
        <w:rPr>
          <w:rFonts w:eastAsiaTheme="minorEastAsia"/>
          <w:b/>
          <w:lang w:eastAsia="zh-CN"/>
        </w:rPr>
        <w:t>Conclusion: The TU estimat</w:t>
      </w:r>
      <w:r>
        <w:rPr>
          <w:rFonts w:hint="eastAsia" w:eastAsiaTheme="minorEastAsia"/>
          <w:b/>
          <w:lang w:val="en-US" w:eastAsia="zh-CN"/>
        </w:rPr>
        <w:t>ion can be updated based on December SA/RAN plenary discussion, which may lead to less TU if the number of device types and topologie</w:t>
      </w:r>
      <w:r>
        <w:rPr>
          <w:rFonts w:eastAsiaTheme="minorEastAsia"/>
          <w:b/>
          <w:lang w:eastAsia="zh-CN"/>
        </w:rPr>
        <w:t>s</w:t>
      </w:r>
      <w:r>
        <w:rPr>
          <w:rFonts w:hint="eastAsia" w:eastAsiaTheme="minorEastAsia"/>
          <w:b/>
          <w:lang w:val="en-US" w:eastAsia="zh-CN"/>
        </w:rPr>
        <w:t xml:space="preserve"> can be reduced. And N</w:t>
      </w:r>
      <w:r>
        <w:rPr>
          <w:rFonts w:eastAsiaTheme="minorEastAsia"/>
          <w:b/>
          <w:lang w:eastAsia="zh-CN"/>
        </w:rPr>
        <w:t xml:space="preserve">ormative TUs </w:t>
      </w:r>
      <w:r>
        <w:rPr>
          <w:rFonts w:hint="eastAsia" w:eastAsiaTheme="minorEastAsia"/>
          <w:b/>
          <w:lang w:val="en-US" w:eastAsia="zh-CN"/>
        </w:rPr>
        <w:t xml:space="preserve">are expected to be </w:t>
      </w:r>
      <w:r>
        <w:rPr>
          <w:rFonts w:eastAsiaTheme="minorEastAsia"/>
          <w:b/>
          <w:lang w:eastAsia="zh-CN"/>
        </w:rPr>
        <w:t>lower than study TUs.</w:t>
      </w:r>
    </w:p>
    <w:p>
      <w:pPr>
        <w:pStyle w:val="2"/>
        <w:rPr>
          <w:lang w:eastAsia="zh-CN"/>
        </w:rPr>
      </w:pPr>
      <w:r>
        <w:rPr>
          <w:lang w:eastAsia="zh-CN"/>
        </w:rPr>
        <w:t>3. Conclusion and Proposals</w:t>
      </w:r>
    </w:p>
    <w:p>
      <w:pPr>
        <w:rPr>
          <w:rStyle w:val="33"/>
        </w:rPr>
      </w:pPr>
      <w:r>
        <w:rPr>
          <w:rStyle w:val="33"/>
          <w:rFonts w:hint="eastAsia"/>
        </w:rPr>
        <w:t>C</w:t>
      </w:r>
      <w:r>
        <w:rPr>
          <w:rStyle w:val="33"/>
        </w:rPr>
        <w:t xml:space="preserve">onclusion 1: Ambient IoT opens new business to operators with big marketing values. Standards work is very urgent </w:t>
      </w:r>
      <w:r>
        <w:rPr>
          <w:rStyle w:val="33"/>
          <w:rFonts w:hint="eastAsia"/>
        </w:rPr>
        <w:t>t</w:t>
      </w:r>
      <w:r>
        <w:rPr>
          <w:rStyle w:val="33"/>
        </w:rPr>
        <w:t>o ensure a quick push-to-market of the service. Therefore, Rel-19 normative work is essential.</w:t>
      </w:r>
    </w:p>
    <w:p>
      <w:pPr>
        <w:rPr>
          <w:rFonts w:eastAsiaTheme="minorEastAsia"/>
          <w:b/>
          <w:highlight w:val="none"/>
          <w:lang w:eastAsia="zh-CN"/>
        </w:rPr>
      </w:pPr>
      <w:r>
        <w:rPr>
          <w:rFonts w:eastAsiaTheme="minorEastAsia"/>
          <w:b/>
          <w:highlight w:val="none"/>
          <w:lang w:eastAsia="zh-CN"/>
        </w:rPr>
        <w:t xml:space="preserve">Conclusion 2: </w:t>
      </w:r>
      <w:r>
        <w:rPr>
          <w:rFonts w:eastAsiaTheme="minorEastAsia"/>
          <w:b/>
          <w:highlight w:val="none"/>
          <w:lang w:val="en-US" w:eastAsia="zh-CN"/>
        </w:rPr>
        <w:t>WT#1, 3, 4 are for system architecture work, while WT#5</w:t>
      </w:r>
      <w:r>
        <w:rPr>
          <w:rFonts w:hint="eastAsia" w:eastAsiaTheme="minorEastAsia"/>
          <w:b/>
          <w:highlight w:val="none"/>
          <w:lang w:val="en-US" w:eastAsia="zh-CN"/>
        </w:rPr>
        <w:t>, especially the 5.1,</w:t>
      </w:r>
      <w:r>
        <w:rPr>
          <w:rFonts w:eastAsiaTheme="minorEastAsia"/>
          <w:b/>
          <w:highlight w:val="none"/>
          <w:lang w:val="en-US" w:eastAsia="zh-CN"/>
        </w:rPr>
        <w:t xml:space="preserve"> is SA3 security work. It would be helpful to transfer WT#5</w:t>
      </w:r>
      <w:r>
        <w:rPr>
          <w:rFonts w:hint="eastAsia" w:eastAsiaTheme="minorEastAsia"/>
          <w:b/>
          <w:highlight w:val="none"/>
          <w:lang w:val="en-US" w:eastAsia="zh-CN"/>
        </w:rPr>
        <w:t>.1</w:t>
      </w:r>
      <w:r>
        <w:rPr>
          <w:rFonts w:eastAsiaTheme="minorEastAsia"/>
          <w:b/>
          <w:highlight w:val="none"/>
          <w:lang w:val="en-US" w:eastAsia="zh-CN"/>
        </w:rPr>
        <w:t xml:space="preserve"> work to SA3 considering the workload in SA2 is already very high.</w:t>
      </w:r>
      <w:r>
        <w:rPr>
          <w:rFonts w:hint="eastAsia" w:eastAsiaTheme="minorEastAsia"/>
          <w:b/>
          <w:highlight w:val="none"/>
          <w:lang w:val="en-US" w:eastAsia="zh-CN"/>
        </w:rPr>
        <w:t xml:space="preserve"> And WT#5.2 can be kept or moved under WT#3, since disabling the IoT device is closely related with system control.</w:t>
      </w:r>
    </w:p>
    <w:p>
      <w:pPr>
        <w:rPr>
          <w:rFonts w:eastAsiaTheme="minorEastAsia"/>
          <w:b/>
          <w:lang w:val="en-US" w:eastAsia="zh-CN"/>
        </w:rPr>
      </w:pPr>
      <w:r>
        <w:rPr>
          <w:rFonts w:eastAsiaTheme="minorEastAsia"/>
          <w:b/>
          <w:lang w:val="en-US" w:eastAsia="zh-CN"/>
        </w:rPr>
        <w:t xml:space="preserve">Proposal: </w:t>
      </w:r>
      <w:r>
        <w:rPr>
          <w:rFonts w:eastAsiaTheme="minorEastAsia"/>
          <w:b/>
          <w:lang w:eastAsia="zh-CN"/>
        </w:rPr>
        <w:t>The TU estimat</w:t>
      </w:r>
      <w:r>
        <w:rPr>
          <w:rFonts w:hint="eastAsia" w:eastAsiaTheme="minorEastAsia"/>
          <w:b/>
          <w:lang w:val="en-US" w:eastAsia="zh-CN"/>
        </w:rPr>
        <w:t>ion can be updated based on December SA/RAN plenary discussion, which may lead to less TU if the number of device types and topologie</w:t>
      </w:r>
      <w:r>
        <w:rPr>
          <w:rFonts w:eastAsiaTheme="minorEastAsia"/>
          <w:b/>
          <w:lang w:eastAsia="zh-CN"/>
        </w:rPr>
        <w:t>s</w:t>
      </w:r>
      <w:r>
        <w:rPr>
          <w:rFonts w:hint="eastAsia" w:eastAsiaTheme="minorEastAsia"/>
          <w:b/>
          <w:lang w:val="en-US" w:eastAsia="zh-CN"/>
        </w:rPr>
        <w:t xml:space="preserve"> can be reduced. And N</w:t>
      </w:r>
      <w:r>
        <w:rPr>
          <w:rFonts w:eastAsiaTheme="minorEastAsia"/>
          <w:b/>
          <w:lang w:eastAsia="zh-CN"/>
        </w:rPr>
        <w:t xml:space="preserve">ormative TUs </w:t>
      </w:r>
      <w:r>
        <w:rPr>
          <w:rFonts w:hint="eastAsia" w:eastAsiaTheme="minorEastAsia"/>
          <w:b/>
          <w:lang w:val="en-US" w:eastAsia="zh-CN"/>
        </w:rPr>
        <w:t xml:space="preserve">are expected to be </w:t>
      </w:r>
      <w:r>
        <w:rPr>
          <w:rFonts w:eastAsiaTheme="minorEastAsia"/>
          <w:b/>
          <w:lang w:eastAsia="zh-CN"/>
        </w:rPr>
        <w:t>lower than study TUs</w:t>
      </w:r>
      <w:r>
        <w:rPr>
          <w:rFonts w:eastAsiaTheme="minorEastAsia"/>
          <w:b/>
          <w:lang w:val="en-US" w:eastAsia="zh-CN"/>
        </w:rPr>
        <w:t>.</w:t>
      </w:r>
    </w:p>
    <w:p>
      <w:pPr>
        <w:pStyle w:val="2"/>
        <w:rPr>
          <w:lang w:eastAsia="zh-CN"/>
        </w:rPr>
      </w:pPr>
      <w:r>
        <w:rPr>
          <w:lang w:eastAsia="zh-CN"/>
        </w:rPr>
        <w:t xml:space="preserve">4. References </w:t>
      </w:r>
    </w:p>
    <w:p>
      <w:pPr>
        <w:rPr>
          <w:lang w:eastAsia="zh-CN"/>
        </w:rPr>
      </w:pPr>
      <w:r>
        <w:rPr>
          <w:lang w:eastAsia="zh-CN"/>
        </w:rPr>
        <w:t>[1] “Status of IEEE 802.11 Ambient Power (AMP) TIG/SG” (https://www.ieee802.org/11/Reports/amp_update.htm)</w:t>
      </w:r>
    </w:p>
    <w:p>
      <w:pPr>
        <w:rPr>
          <w:lang w:val="en-US" w:eastAsia="zh-CN"/>
        </w:rPr>
      </w:pPr>
      <w:r>
        <w:rPr>
          <w:lang w:val="en-US" w:eastAsia="zh-CN"/>
        </w:rPr>
        <w:t>[2] “Disposable LoRa enabled Nano-tag for IoT Applications”, IoT adda, (http://www.iotadda.com/disposable-lora-enabled-nano-tag-for-iot-applications/)</w:t>
      </w:r>
    </w:p>
    <w:p>
      <w:pPr>
        <w:rPr>
          <w:lang w:val="en-US"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4B038A"/>
    <w:multiLevelType w:val="multilevel"/>
    <w:tmpl w:val="204B038A"/>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C9B0014"/>
    <w:multiLevelType w:val="multilevel"/>
    <w:tmpl w:val="2C9B0014"/>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52357DDB"/>
    <w:multiLevelType w:val="multilevel"/>
    <w:tmpl w:val="52357DDB"/>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82C5ADF"/>
    <w:multiLevelType w:val="multilevel"/>
    <w:tmpl w:val="582C5ADF"/>
    <w:lvl w:ilvl="0" w:tentative="0">
      <w:start w:val="1"/>
      <w:numFmt w:val="bullet"/>
      <w:lvlText w:val="-"/>
      <w:lvlJc w:val="left"/>
      <w:pPr>
        <w:ind w:left="644" w:hanging="360"/>
      </w:pPr>
      <w:rPr>
        <w:rFonts w:hint="default" w:ascii="Times New Roman" w:hAnsi="Times New Roman" w:eastAsia="Malgun Gothic"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4">
    <w:nsid w:val="5B7736D3"/>
    <w:multiLevelType w:val="multilevel"/>
    <w:tmpl w:val="5B7736D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35C"/>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6743A"/>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7D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0863"/>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0B5"/>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8D"/>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6F09"/>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6710"/>
    <w:rsid w:val="0022711B"/>
    <w:rsid w:val="00230A69"/>
    <w:rsid w:val="0023104F"/>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0F43"/>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0A8"/>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6F27"/>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439"/>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86AF5"/>
    <w:rsid w:val="00490C00"/>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4564"/>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A5D"/>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3D89"/>
    <w:rsid w:val="00585FEA"/>
    <w:rsid w:val="005860AC"/>
    <w:rsid w:val="0058659A"/>
    <w:rsid w:val="00591AC5"/>
    <w:rsid w:val="005932C8"/>
    <w:rsid w:val="00593984"/>
    <w:rsid w:val="0059430C"/>
    <w:rsid w:val="00595C4B"/>
    <w:rsid w:val="00596E82"/>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2652"/>
    <w:rsid w:val="005F302E"/>
    <w:rsid w:val="005F33AF"/>
    <w:rsid w:val="005F3633"/>
    <w:rsid w:val="005F5128"/>
    <w:rsid w:val="005F59D9"/>
    <w:rsid w:val="005F698B"/>
    <w:rsid w:val="005F6EC4"/>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2B8F"/>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1F33"/>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618B"/>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EFB"/>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7AA"/>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58CD"/>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003"/>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354"/>
    <w:rsid w:val="007A3633"/>
    <w:rsid w:val="007A36D8"/>
    <w:rsid w:val="007A3C7F"/>
    <w:rsid w:val="007A3E80"/>
    <w:rsid w:val="007A42A5"/>
    <w:rsid w:val="007A6135"/>
    <w:rsid w:val="007A70F7"/>
    <w:rsid w:val="007A7FC0"/>
    <w:rsid w:val="007B085A"/>
    <w:rsid w:val="007B1D42"/>
    <w:rsid w:val="007B1F16"/>
    <w:rsid w:val="007B2021"/>
    <w:rsid w:val="007B2ECC"/>
    <w:rsid w:val="007B3378"/>
    <w:rsid w:val="007B4EED"/>
    <w:rsid w:val="007B5FD9"/>
    <w:rsid w:val="007B63AA"/>
    <w:rsid w:val="007B6816"/>
    <w:rsid w:val="007B7ED9"/>
    <w:rsid w:val="007C1086"/>
    <w:rsid w:val="007C128B"/>
    <w:rsid w:val="007C2972"/>
    <w:rsid w:val="007C3DDB"/>
    <w:rsid w:val="007C4A64"/>
    <w:rsid w:val="007C5E11"/>
    <w:rsid w:val="007C71BB"/>
    <w:rsid w:val="007C75CA"/>
    <w:rsid w:val="007D1079"/>
    <w:rsid w:val="007D131D"/>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66"/>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0FA9"/>
    <w:rsid w:val="008C188F"/>
    <w:rsid w:val="008C1FF7"/>
    <w:rsid w:val="008C32D5"/>
    <w:rsid w:val="008C362C"/>
    <w:rsid w:val="008C3743"/>
    <w:rsid w:val="008C4329"/>
    <w:rsid w:val="008C4952"/>
    <w:rsid w:val="008C5B59"/>
    <w:rsid w:val="008C5F89"/>
    <w:rsid w:val="008C7A5F"/>
    <w:rsid w:val="008D0486"/>
    <w:rsid w:val="008D05CE"/>
    <w:rsid w:val="008D092C"/>
    <w:rsid w:val="008D170E"/>
    <w:rsid w:val="008D1B17"/>
    <w:rsid w:val="008D1DB6"/>
    <w:rsid w:val="008D2992"/>
    <w:rsid w:val="008D2D20"/>
    <w:rsid w:val="008D5668"/>
    <w:rsid w:val="008E0416"/>
    <w:rsid w:val="008E0EB6"/>
    <w:rsid w:val="008E1EED"/>
    <w:rsid w:val="008E2C98"/>
    <w:rsid w:val="008E3D19"/>
    <w:rsid w:val="008E614A"/>
    <w:rsid w:val="008E6704"/>
    <w:rsid w:val="008E760A"/>
    <w:rsid w:val="008E76A6"/>
    <w:rsid w:val="008F0B57"/>
    <w:rsid w:val="008F0D3D"/>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047"/>
    <w:rsid w:val="00911358"/>
    <w:rsid w:val="00911C82"/>
    <w:rsid w:val="00911EB1"/>
    <w:rsid w:val="009143AA"/>
    <w:rsid w:val="009146E1"/>
    <w:rsid w:val="009151B8"/>
    <w:rsid w:val="009173A0"/>
    <w:rsid w:val="0092375A"/>
    <w:rsid w:val="00923A7D"/>
    <w:rsid w:val="00926B89"/>
    <w:rsid w:val="00927C1B"/>
    <w:rsid w:val="0093037A"/>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3EC1"/>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4F8"/>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63B9"/>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3199"/>
    <w:rsid w:val="009F4F45"/>
    <w:rsid w:val="009F57A4"/>
    <w:rsid w:val="009F5B1D"/>
    <w:rsid w:val="009F79B5"/>
    <w:rsid w:val="009F7B9C"/>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4A14"/>
    <w:rsid w:val="00A151DD"/>
    <w:rsid w:val="00A1569B"/>
    <w:rsid w:val="00A17EAF"/>
    <w:rsid w:val="00A20CB1"/>
    <w:rsid w:val="00A210AA"/>
    <w:rsid w:val="00A21470"/>
    <w:rsid w:val="00A228E4"/>
    <w:rsid w:val="00A22D81"/>
    <w:rsid w:val="00A23625"/>
    <w:rsid w:val="00A23868"/>
    <w:rsid w:val="00A23BBA"/>
    <w:rsid w:val="00A24F28"/>
    <w:rsid w:val="00A2573B"/>
    <w:rsid w:val="00A25C93"/>
    <w:rsid w:val="00A25F3B"/>
    <w:rsid w:val="00A27543"/>
    <w:rsid w:val="00A27856"/>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5B54"/>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50D6"/>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D7EE2"/>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541"/>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6D4D"/>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4878"/>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9B7"/>
    <w:rsid w:val="00CD4A81"/>
    <w:rsid w:val="00CD4B24"/>
    <w:rsid w:val="00CD6F50"/>
    <w:rsid w:val="00CD761C"/>
    <w:rsid w:val="00CD799D"/>
    <w:rsid w:val="00CE034E"/>
    <w:rsid w:val="00CE14C8"/>
    <w:rsid w:val="00CE34A4"/>
    <w:rsid w:val="00CE6084"/>
    <w:rsid w:val="00CE682B"/>
    <w:rsid w:val="00CE73D7"/>
    <w:rsid w:val="00CE75A3"/>
    <w:rsid w:val="00CE7ED6"/>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790D"/>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49EA"/>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19DF"/>
    <w:rsid w:val="00DA2184"/>
    <w:rsid w:val="00DA29D5"/>
    <w:rsid w:val="00DA2AA6"/>
    <w:rsid w:val="00DA3AEF"/>
    <w:rsid w:val="00DA4A95"/>
    <w:rsid w:val="00DA4BED"/>
    <w:rsid w:val="00DA5C7E"/>
    <w:rsid w:val="00DA5E2A"/>
    <w:rsid w:val="00DA618C"/>
    <w:rsid w:val="00DB1C5D"/>
    <w:rsid w:val="00DB218A"/>
    <w:rsid w:val="00DB284E"/>
    <w:rsid w:val="00DB2D56"/>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2D1"/>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93A"/>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4E60"/>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14FE"/>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A19"/>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B43"/>
    <w:rsid w:val="00F73F19"/>
    <w:rsid w:val="00F75A6C"/>
    <w:rsid w:val="00F766E6"/>
    <w:rsid w:val="00F77118"/>
    <w:rsid w:val="00F80238"/>
    <w:rsid w:val="00F80E63"/>
    <w:rsid w:val="00F8116D"/>
    <w:rsid w:val="00F81180"/>
    <w:rsid w:val="00F81AC7"/>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 w:val="10740E35"/>
    <w:rsid w:val="19753593"/>
    <w:rsid w:val="20096335"/>
    <w:rsid w:val="25441769"/>
    <w:rsid w:val="3D6F541C"/>
    <w:rsid w:val="47262D4B"/>
    <w:rsid w:val="47506422"/>
    <w:rsid w:val="54CD1A2D"/>
    <w:rsid w:val="58A76041"/>
    <w:rsid w:val="59A97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7"/>
    <w:qFormat/>
    <w:uiPriority w:val="0"/>
    <w:pPr>
      <w:outlineLvl w:val="8"/>
    </w:pPr>
    <w:rPr>
      <w:lang w:val="zh-CN"/>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9"/>
    <w:qFormat/>
    <w:uiPriority w:val="0"/>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7"/>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6"/>
    <w:qFormat/>
    <w:uiPriority w:val="0"/>
    <w:pPr>
      <w:tabs>
        <w:tab w:val="center" w:pos="4153"/>
        <w:tab w:val="right" w:pos="8306"/>
      </w:tabs>
    </w:pPr>
  </w:style>
  <w:style w:type="paragraph" w:styleId="27">
    <w:name w:val="toc 9"/>
    <w:basedOn w:val="23"/>
    <w:next w:val="1"/>
    <w:semiHidden/>
    <w:qFormat/>
    <w:uiPriority w:val="0"/>
    <w:pPr>
      <w:ind w:left="1418" w:hanging="1418"/>
    </w:pPr>
  </w:style>
  <w:style w:type="paragraph" w:styleId="28">
    <w:name w:val="Normal (Web)"/>
    <w:basedOn w:val="1"/>
    <w:unhideWhenUsed/>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80"/>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uiPriority w:val="0"/>
    <w:rPr>
      <w:b/>
      <w:bCs/>
    </w:rPr>
  </w:style>
  <w:style w:type="character" w:styleId="34">
    <w:name w:val="Emphasis"/>
    <w:qFormat/>
    <w:uiPriority w:val="0"/>
    <w:rPr>
      <w:i/>
      <w:iCs/>
    </w:rPr>
  </w:style>
  <w:style w:type="character" w:styleId="35">
    <w:name w:val="Hyperlink"/>
    <w:qFormat/>
    <w:uiPriority w:val="0"/>
    <w:rPr>
      <w:color w:val="0000FF"/>
      <w:u w:val="single"/>
    </w:rPr>
  </w:style>
  <w:style w:type="character" w:styleId="36">
    <w:name w:val="annotation reference"/>
    <w:qFormat/>
    <w:uiPriority w:val="0"/>
    <w:rPr>
      <w:sz w:val="16"/>
      <w:szCs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102"/>
    <w:qFormat/>
    <w:uiPriority w:val="0"/>
    <w:rPr>
      <w:b/>
    </w:rPr>
  </w:style>
  <w:style w:type="paragraph" w:customStyle="1" w:styleId="45">
    <w:name w:val="TAC"/>
    <w:basedOn w:val="46"/>
    <w:qFormat/>
    <w:uiPriority w:val="0"/>
    <w:pPr>
      <w:jc w:val="center"/>
    </w:pPr>
  </w:style>
  <w:style w:type="paragraph" w:customStyle="1" w:styleId="46">
    <w:name w:val="TAL"/>
    <w:basedOn w:val="1"/>
    <w:link w:val="88"/>
    <w:qFormat/>
    <w:uiPriority w:val="0"/>
    <w:pPr>
      <w:keepNext/>
      <w:keepLines/>
      <w:spacing w:after="0"/>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2"/>
    <w:qFormat/>
    <w:uiPriority w:val="0"/>
    <w:pPr>
      <w:keepLines/>
      <w:ind w:left="1135" w:hanging="851"/>
    </w:p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qFormat/>
    <w:uiPriority w:val="0"/>
    <w:pPr>
      <w:keepLines/>
      <w:ind w:left="1702" w:hanging="1418"/>
    </w:pPr>
    <w:rPr>
      <w:rFonts w:eastAsia="Times New Roman"/>
    </w:rPr>
  </w:style>
  <w:style w:type="paragraph" w:customStyle="1" w:styleId="52">
    <w:name w:val="FP"/>
    <w:basedOn w:val="1"/>
    <w:qFormat/>
    <w:uiPriority w:val="0"/>
    <w:pPr>
      <w:spacing w:after="0"/>
    </w:pPr>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pPr>
      <w:spacing w:after="0"/>
    </w:pPr>
  </w:style>
  <w:style w:type="paragraph" w:customStyle="1" w:styleId="55">
    <w:name w:val="EW"/>
    <w:basedOn w:val="51"/>
    <w:qFormat/>
    <w:uiPriority w:val="0"/>
    <w:pPr>
      <w:spacing w:after="0"/>
    </w:pPr>
  </w:style>
  <w:style w:type="paragraph" w:customStyle="1" w:styleId="56">
    <w:name w:val="B2"/>
    <w:basedOn w:val="1"/>
    <w:link w:val="100"/>
    <w:qFormat/>
    <w:uiPriority w:val="0"/>
    <w:pPr>
      <w:ind w:left="851" w:hanging="284"/>
    </w:pPr>
    <w:rPr>
      <w:lang w:val="zh-CN"/>
    </w:rPr>
  </w:style>
  <w:style w:type="paragraph" w:customStyle="1" w:styleId="57">
    <w:name w:val="B1"/>
    <w:basedOn w:val="1"/>
    <w:link w:val="78"/>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101"/>
    <w:qFormat/>
    <w:uiPriority w:val="0"/>
    <w:pPr>
      <w:keepNext w:val="0"/>
      <w:spacing w:before="0" w:after="240"/>
    </w:pPr>
    <w:rPr>
      <w:lang w:val="zh-CN"/>
    </w:rPr>
  </w:style>
  <w:style w:type="paragraph" w:customStyle="1" w:styleId="64">
    <w:name w:val="NF"/>
    <w:basedOn w:val="4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81"/>
    <w:qFormat/>
    <w:uiPriority w:val="0"/>
    <w:rPr>
      <w:color w:val="FF000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页眉 字符"/>
    <w:link w:val="26"/>
    <w:qFormat/>
    <w:uiPriority w:val="0"/>
    <w:rPr>
      <w:color w:val="000000"/>
      <w:lang w:val="en-GB" w:eastAsia="ja-JP" w:bidi="ar-SA"/>
    </w:rPr>
  </w:style>
  <w:style w:type="character" w:customStyle="1" w:styleId="77">
    <w:name w:val="批注框文本 字符"/>
    <w:link w:val="24"/>
    <w:qFormat/>
    <w:uiPriority w:val="0"/>
    <w:rPr>
      <w:rFonts w:ascii="Tahoma" w:hAnsi="Tahoma" w:cs="Tahoma"/>
      <w:color w:val="000000"/>
      <w:sz w:val="16"/>
      <w:szCs w:val="16"/>
      <w:lang w:val="en-GB" w:eastAsia="ja-JP"/>
    </w:rPr>
  </w:style>
  <w:style w:type="character" w:customStyle="1" w:styleId="78">
    <w:name w:val="B1 Char"/>
    <w:link w:val="57"/>
    <w:qFormat/>
    <w:uiPriority w:val="0"/>
    <w:rPr>
      <w:color w:val="000000"/>
      <w:lang w:val="en-GB" w:eastAsia="ja-JP"/>
    </w:rPr>
  </w:style>
  <w:style w:type="character" w:customStyle="1" w:styleId="79">
    <w:name w:val="批注文字 字符"/>
    <w:link w:val="22"/>
    <w:uiPriority w:val="0"/>
    <w:rPr>
      <w:color w:val="000000"/>
      <w:lang w:val="en-GB" w:eastAsia="ja-JP"/>
    </w:rPr>
  </w:style>
  <w:style w:type="character" w:customStyle="1" w:styleId="80">
    <w:name w:val="批注主题 字符"/>
    <w:link w:val="29"/>
    <w:uiPriority w:val="0"/>
    <w:rPr>
      <w:b/>
      <w:bCs/>
      <w:color w:val="000000"/>
      <w:lang w:val="en-GB" w:eastAsia="ja-JP"/>
    </w:rPr>
  </w:style>
  <w:style w:type="character" w:customStyle="1" w:styleId="81">
    <w:name w:val="Editor's Note Char Char"/>
    <w:link w:val="70"/>
    <w:qFormat/>
    <w:uiPriority w:val="0"/>
    <w:rPr>
      <w:color w:val="FF0000"/>
      <w:lang w:val="en-GB" w:eastAsia="ja-JP"/>
    </w:rPr>
  </w:style>
  <w:style w:type="character" w:customStyle="1" w:styleId="82">
    <w:name w:val="NO Zchn"/>
    <w:link w:val="48"/>
    <w:qFormat/>
    <w:uiPriority w:val="0"/>
    <w:rPr>
      <w:color w:val="000000"/>
      <w:lang w:val="en-GB" w:eastAsia="ja-JP"/>
    </w:rPr>
  </w:style>
  <w:style w:type="character" w:customStyle="1" w:styleId="83">
    <w:name w:val="Editor's Note Char"/>
    <w:qFormat/>
    <w:locked/>
    <w:uiPriority w:val="0"/>
    <w:rPr>
      <w:color w:val="FF0000"/>
      <w:lang w:eastAsia="en-US"/>
    </w:rPr>
  </w:style>
  <w:style w:type="paragraph" w:styleId="84">
    <w:name w:val="List Paragraph"/>
    <w:basedOn w:val="1"/>
    <w:qFormat/>
    <w:uiPriority w:val="34"/>
    <w:pPr>
      <w:ind w:left="720"/>
    </w:pPr>
  </w:style>
  <w:style w:type="character" w:customStyle="1" w:styleId="85">
    <w:name w:val="NO Char"/>
    <w:qFormat/>
    <w:uiPriority w:val="0"/>
    <w:rPr>
      <w:lang w:val="en-GB"/>
    </w:rPr>
  </w:style>
  <w:style w:type="character" w:customStyle="1" w:styleId="86">
    <w:name w:val="TH Char"/>
    <w:link w:val="62"/>
    <w:qFormat/>
    <w:uiPriority w:val="0"/>
    <w:rPr>
      <w:rFonts w:ascii="Arial" w:hAnsi="Arial"/>
      <w:b/>
      <w:color w:val="000000"/>
      <w:lang w:val="en-GB" w:eastAsia="ja-JP"/>
    </w:rPr>
  </w:style>
  <w:style w:type="character" w:customStyle="1" w:styleId="87">
    <w:name w:val="标题 3 字符"/>
    <w:link w:val="4"/>
    <w:qFormat/>
    <w:uiPriority w:val="0"/>
    <w:rPr>
      <w:rFonts w:ascii="Arial" w:hAnsi="Arial"/>
      <w:sz w:val="28"/>
      <w:lang w:val="en-GB" w:eastAsia="ja-JP"/>
    </w:rPr>
  </w:style>
  <w:style w:type="character" w:customStyle="1" w:styleId="88">
    <w:name w:val="TAL Char"/>
    <w:link w:val="46"/>
    <w:qFormat/>
    <w:uiPriority w:val="0"/>
    <w:rPr>
      <w:rFonts w:ascii="Arial" w:hAnsi="Arial"/>
      <w:color w:val="000000"/>
      <w:sz w:val="18"/>
      <w:lang w:val="en-GB" w:eastAsia="ja-JP"/>
    </w:rPr>
  </w:style>
  <w:style w:type="character" w:customStyle="1" w:styleId="89">
    <w:name w:val="B1 Char1"/>
    <w:qFormat/>
    <w:uiPriority w:val="0"/>
    <w:rPr>
      <w:rFonts w:ascii="Times New Roman" w:hAnsi="Times New Roman"/>
      <w:lang w:val="en-GB"/>
    </w:rPr>
  </w:style>
  <w:style w:type="paragraph" w:customStyle="1" w:styleId="90">
    <w:name w:val="Doc-text2"/>
    <w:basedOn w:val="1"/>
    <w:link w:val="91"/>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paragraph" w:customStyle="1" w:styleId="92">
    <w:name w:val="body"/>
    <w:basedOn w:val="1"/>
    <w:link w:val="93"/>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3">
    <w:name w:val="body Char"/>
    <w:link w:val="92"/>
    <w:qFormat/>
    <w:uiPriority w:val="0"/>
    <w:rPr>
      <w:rFonts w:ascii="Bookman Old Style" w:hAnsi="Bookman Old Style"/>
    </w:rPr>
  </w:style>
  <w:style w:type="paragraph" w:styleId="94">
    <w:name w:val="Quote"/>
    <w:basedOn w:val="1"/>
    <w:next w:val="1"/>
    <w:link w:val="95"/>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5">
    <w:name w:val="引用 字符"/>
    <w:link w:val="94"/>
    <w:qFormat/>
    <w:uiPriority w:val="29"/>
    <w:rPr>
      <w:rFonts w:ascii="Bookman Old Style" w:hAnsi="Bookman Old Style"/>
      <w:i/>
      <w:iCs/>
      <w:color w:val="000000"/>
    </w:rPr>
  </w:style>
  <w:style w:type="paragraph" w:customStyle="1" w:styleId="96">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7">
    <w:name w:val="标题 9 字符"/>
    <w:link w:val="11"/>
    <w:qFormat/>
    <w:uiPriority w:val="0"/>
    <w:rPr>
      <w:rFonts w:ascii="Arial" w:hAnsi="Arial"/>
      <w:sz w:val="36"/>
      <w:lang w:eastAsia="ja-JP"/>
    </w:rPr>
  </w:style>
  <w:style w:type="character" w:customStyle="1" w:styleId="98">
    <w:name w:val="标题 2 字符"/>
    <w:link w:val="3"/>
    <w:qFormat/>
    <w:uiPriority w:val="0"/>
    <w:rPr>
      <w:rFonts w:ascii="Arial" w:hAnsi="Arial"/>
      <w:sz w:val="32"/>
      <w:lang w:val="en-GB" w:eastAsia="ja-JP"/>
    </w:rPr>
  </w:style>
  <w:style w:type="character" w:customStyle="1" w:styleId="99">
    <w:name w:val="标题 1 字符"/>
    <w:link w:val="2"/>
    <w:qFormat/>
    <w:uiPriority w:val="0"/>
    <w:rPr>
      <w:rFonts w:ascii="Arial" w:hAnsi="Arial"/>
      <w:sz w:val="36"/>
      <w:lang w:val="en-GB" w:eastAsia="ja-JP" w:bidi="ar-SA"/>
    </w:rPr>
  </w:style>
  <w:style w:type="character" w:customStyle="1" w:styleId="100">
    <w:name w:val="B2 Char"/>
    <w:link w:val="56"/>
    <w:qFormat/>
    <w:uiPriority w:val="0"/>
    <w:rPr>
      <w:color w:val="000000"/>
      <w:lang w:eastAsia="ja-JP"/>
    </w:rPr>
  </w:style>
  <w:style w:type="character" w:customStyle="1" w:styleId="101">
    <w:name w:val="TF Char"/>
    <w:link w:val="63"/>
    <w:qFormat/>
    <w:uiPriority w:val="0"/>
    <w:rPr>
      <w:rFonts w:ascii="Arial" w:hAnsi="Arial"/>
      <w:b/>
      <w:color w:val="000000"/>
      <w:lang w:eastAsia="ja-JP"/>
    </w:rPr>
  </w:style>
  <w:style w:type="character" w:customStyle="1" w:styleId="102">
    <w:name w:val="TAH Car"/>
    <w:link w:val="44"/>
    <w:qFormat/>
    <w:uiPriority w:val="0"/>
    <w:rPr>
      <w:rFonts w:ascii="Arial" w:hAnsi="Arial"/>
      <w:b/>
      <w:color w:val="000000"/>
      <w:sz w:val="18"/>
      <w:lang w:val="en-GB" w:eastAsia="ja-JP"/>
    </w:rPr>
  </w:style>
  <w:style w:type="paragraph" w:customStyle="1" w:styleId="103">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4">
    <w:name w:val="Unresolved Mention"/>
    <w:basedOn w:val="32"/>
    <w:semiHidden/>
    <w:unhideWhenUsed/>
    <w:qFormat/>
    <w:uiPriority w:val="99"/>
    <w:rPr>
      <w:color w:val="605E5C"/>
      <w:shd w:val="clear" w:color="auto" w:fill="E1DFDD"/>
    </w:rPr>
  </w:style>
  <w:style w:type="paragraph" w:customStyle="1" w:styleId="105">
    <w:name w:val="CR Cover Page"/>
    <w:qFormat/>
    <w:uiPriority w:val="0"/>
    <w:pPr>
      <w:spacing w:after="120"/>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78240E-14AC-4DF3-813D-F4E613C9D4C0}">
  <ds:schemaRefs/>
</ds:datastoreItem>
</file>

<file path=customXml/itemProps2.xml><?xml version="1.0" encoding="utf-8"?>
<ds:datastoreItem xmlns:ds="http://schemas.openxmlformats.org/officeDocument/2006/customXml" ds:itemID="{00A2B484-1218-49BE-83C0-E3AFAA8A2CEF}">
  <ds:schemaRefs/>
</ds:datastoreItem>
</file>

<file path=customXml/itemProps3.xml><?xml version="1.0" encoding="utf-8"?>
<ds:datastoreItem xmlns:ds="http://schemas.openxmlformats.org/officeDocument/2006/customXml" ds:itemID="{6016A4E4-BE80-4AF8-A684-4078E9D2AED1}">
  <ds:schemaRefs/>
</ds:datastoreItem>
</file>

<file path=customXml/itemProps4.xml><?xml version="1.0" encoding="utf-8"?>
<ds:datastoreItem xmlns:ds="http://schemas.openxmlformats.org/officeDocument/2006/customXml" ds:itemID="{788A80BA-54BC-4C61-8546-3F3E1B270F3C}">
  <ds:schemaRefs/>
</ds:datastoreItem>
</file>

<file path=customXml/itemProps5.xml><?xml version="1.0" encoding="utf-8"?>
<ds:datastoreItem xmlns:ds="http://schemas.openxmlformats.org/officeDocument/2006/customXml" ds:itemID="{3A564B6B-AC46-4DB5-ACCA-ED596777EFCD}">
  <ds:schemaRefs/>
</ds:datastoreItem>
</file>

<file path=customXml/itemProps6.xml><?xml version="1.0" encoding="utf-8"?>
<ds:datastoreItem xmlns:ds="http://schemas.openxmlformats.org/officeDocument/2006/customXml" ds:itemID="{57DFDB35-4F12-4AB6-9573-4B9B8857C909}">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1320</Words>
  <Characters>7528</Characters>
  <Lines>62</Lines>
  <Paragraphs>17</Paragraphs>
  <TotalTime>0</TotalTime>
  <ScaleCrop>false</ScaleCrop>
  <LinksUpToDate>false</LinksUpToDate>
  <CharactersWithSpaces>8831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2023-11-01T07:20:00Z</dcterms:created>
  <dc:creator>cmcc</dc:creator>
  <cp:lastModifiedBy>China Mobile</cp:lastModifiedBy>
  <cp:lastPrinted>2018-08-13T16:59:00Z</cp:lastPrinted>
  <dcterms:modified xsi:type="dcterms:W3CDTF">2023-11-03T18:04:29Z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(3)f/hYVhblhFQ6Wx8UqreKmzUJGNmHsk03PrMj1JiXTUCFCgViqc2o73WB3NRXqCN5x2Z6RxvA
dc2DDq7ICUZbI3nh1d5jyIDSWOn4+uvXO2iaYUin2sHmdlMbwKI4Y+T8SNV7xlsclfjO0wGN
NGjDiMkUmQ+CMqrN+wNDXGeQShepO7fkCj4UTfEz/VT967bIHX09y4MoAdh84+ARMjXmaqka
u8jcRIyneOEqVgd8RP</vt:lpwstr>
  </property>
  <property fmtid="{D5CDD505-2E9C-101B-9397-08002B2CF9AE}" pid="9" name="_2015_ms_pID_7253431">
    <vt:lpwstr>DuEhpeajVDhb7umPZpQdYDApHcMFwDi6vMkFIoQqnVLB6/0DANnwPb
PTsU7ZXunJUT4UK8fR1MddpS+Jd95fv/6dOkM4Kqlwa0RBX0yrH90/mlBFDWG4lC0a0+GoXP
fWA8wa1FQKuTZoyau6LDBPu7OrtmYFRLQGKBzkvx63LBD/dW8OYxCXFaLSe0jzfHztCp0SfM
EH2djFEhIDrjezCV0S80bZYVePW9l5Y11aZd</vt:lpwstr>
  </property>
  <property fmtid="{D5CDD505-2E9C-101B-9397-08002B2CF9AE}" pid="10" name="_2015_ms_pID_7253432">
    <vt:lpwstr>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2052-11.8.2.11483</vt:lpwstr>
  </property>
  <property fmtid="{D5CDD505-2E9C-101B-9397-08002B2CF9AE}" pid="16" name="ICV">
    <vt:lpwstr>857FE0B62AF7491DA6201BBCBFAB19EE</vt:lpwstr>
  </property>
</Properties>
</file>